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76" w:lineRule="auto"/>
      </w:pPr>
      <w:r>
        <w:rPr>
          <w:rFonts w:ascii="Times New Roman" w:hAnsi="Times New Roman"/>
          <w:b w:val="0"/>
          <w:i w:val="0"/>
          <w:color w:val="6E6E76"/>
          <w:sz w:val="20"/>
        </w:rPr>
        <w:t>……………………………………………………………</w:t>
        <w:br/>
      </w:r>
      <w:r>
        <w:rPr>
          <w:rFonts w:ascii="Times New Roman" w:hAnsi="Times New Roman"/>
          <w:b w:val="0"/>
          <w:i w:val="0"/>
          <w:color w:val="6E6E76"/>
          <w:sz w:val="20"/>
        </w:rPr>
        <w:t>imię i nazwisko</w:t>
      </w:r>
    </w:p>
    <w:p>
      <w:pPr>
        <w:spacing w:before="0" w:after="0" w:line="276" w:lineRule="auto"/>
      </w:pPr>
      <w:r>
        <w:rPr>
          <w:rFonts w:ascii="Times New Roman" w:hAnsi="Times New Roman"/>
          <w:b w:val="0"/>
          <w:i w:val="0"/>
          <w:color w:val="6E6E76"/>
          <w:sz w:val="20"/>
        </w:rPr>
        <w:t>……………………………………………………………</w:t>
        <w:br/>
      </w:r>
      <w:r>
        <w:rPr>
          <w:rFonts w:ascii="Times New Roman" w:hAnsi="Times New Roman"/>
          <w:b w:val="0"/>
          <w:i w:val="0"/>
          <w:color w:val="6E6E76"/>
          <w:sz w:val="20"/>
        </w:rPr>
        <w:t>adres zamieszkania</w:t>
      </w:r>
    </w:p>
    <w:p>
      <w:pPr>
        <w:spacing w:before="0" w:after="0" w:line="276" w:lineRule="auto"/>
      </w:pPr>
      <w:r>
        <w:rPr>
          <w:rFonts w:ascii="Times New Roman" w:hAnsi="Times New Roman"/>
          <w:b w:val="0"/>
          <w:i w:val="0"/>
          <w:color w:val="6E6E76"/>
          <w:sz w:val="20"/>
        </w:rPr>
        <w:t>……………………………………………………………</w:t>
        <w:br/>
      </w:r>
      <w:r>
        <w:rPr>
          <w:rFonts w:ascii="Times New Roman" w:hAnsi="Times New Roman"/>
          <w:b w:val="0"/>
          <w:i w:val="0"/>
          <w:color w:val="6E6E76"/>
          <w:sz w:val="20"/>
        </w:rPr>
        <w:t>telefon / e-mail (nieobowiązkowo)</w:t>
      </w:r>
    </w:p>
    <w:p>
      <w:pPr>
        <w:spacing w:before="0" w:after="240" w:line="276" w:lineRule="auto"/>
      </w:pPr>
      <w:r>
        <w:rPr>
          <w:rFonts w:ascii="Times New Roman" w:hAnsi="Times New Roman"/>
          <w:b w:val="0"/>
          <w:i w:val="0"/>
          <w:color w:val="6E6E76"/>
          <w:sz w:val="20"/>
        </w:rPr>
        <w:t>……………………………………………………………</w:t>
        <w:br/>
      </w:r>
      <w:r>
        <w:rPr>
          <w:rFonts w:ascii="Times New Roman" w:hAnsi="Times New Roman"/>
          <w:b w:val="0"/>
          <w:i w:val="0"/>
          <w:color w:val="6E6E76"/>
          <w:sz w:val="20"/>
        </w:rPr>
        <w:t>adres do doręczeń elektronicznych (jeżeli posiadasz)</w:t>
      </w:r>
    </w:p>
    <w:p>
      <w:pPr>
        <w:spacing w:before="0" w:after="360" w:line="276" w:lineRule="auto"/>
        <w:jc w:val="right"/>
      </w:pPr>
      <w:r>
        <w:rPr>
          <w:rFonts w:ascii="Times New Roman" w:hAnsi="Times New Roman"/>
          <w:b w:val="0"/>
          <w:i w:val="0"/>
          <w:sz w:val="22"/>
        </w:rPr>
        <w:t>Glina, dnia ……… sierpnia 2026 r.</w:t>
      </w:r>
    </w:p>
    <w:p>
      <w:pPr>
        <w:spacing w:before="0" w:after="480" w:line="276" w:lineRule="auto"/>
        <w:jc w:val="right"/>
      </w:pPr>
      <w:r>
        <w:rPr>
          <w:rFonts w:ascii="Times New Roman" w:hAnsi="Times New Roman"/>
          <w:b/>
          <w:i w:val="0"/>
          <w:sz w:val="22"/>
        </w:rPr>
        <w:t>Rada Gminy Wola Krzysztoporska</w:t>
        <w:br/>
      </w:r>
      <w:r>
        <w:rPr>
          <w:rFonts w:ascii="Times New Roman" w:hAnsi="Times New Roman"/>
          <w:b/>
          <w:i w:val="0"/>
          <w:sz w:val="22"/>
        </w:rPr>
        <w:t>za pośrednictwem Wójta Gminy Wola Krzysztoporska</w:t>
        <w:br/>
      </w:r>
      <w:r>
        <w:rPr>
          <w:rFonts w:ascii="Times New Roman" w:hAnsi="Times New Roman"/>
          <w:b/>
          <w:i w:val="0"/>
          <w:sz w:val="22"/>
        </w:rPr>
        <w:t>ul. Kościuszki 5</w:t>
        <w:br/>
      </w:r>
      <w:r>
        <w:rPr>
          <w:rFonts w:ascii="Times New Roman" w:hAnsi="Times New Roman"/>
          <w:b/>
          <w:i w:val="0"/>
          <w:sz w:val="22"/>
        </w:rPr>
        <w:t>97-371 Wola Krzysztoporska</w:t>
      </w:r>
    </w:p>
    <w:p>
      <w:pPr>
        <w:spacing w:before="0" w:after="80" w:line="276" w:lineRule="auto"/>
        <w:jc w:val="center"/>
      </w:pPr>
      <w:r>
        <w:rPr>
          <w:rFonts w:ascii="Times New Roman" w:hAnsi="Times New Roman"/>
          <w:b/>
          <w:i w:val="0"/>
          <w:sz w:val="26"/>
        </w:rPr>
        <w:t>WNIOSEK</w:t>
      </w:r>
    </w:p>
    <w:p>
      <w:pPr>
        <w:spacing w:before="0" w:after="280" w:line="276" w:lineRule="auto"/>
        <w:jc w:val="center"/>
      </w:pPr>
      <w:r>
        <w:rPr>
          <w:rFonts w:ascii="Times New Roman" w:hAnsi="Times New Roman"/>
          <w:b w:val="0"/>
          <w:i/>
          <w:sz w:val="22"/>
        </w:rPr>
        <w:t>o przystąpienie do sporządzenia miejscowego planu zagospodarowania przestrzennego dla części obrębu Glina obejmującej działkę nr ewid. 54/2 wraz z terenami przyległymi</w:t>
      </w:r>
    </w:p>
    <w:p>
      <w:pPr>
        <w:spacing w:before="0" w:after="280" w:line="276" w:lineRule="auto"/>
        <w:jc w:val="both"/>
      </w:pPr>
      <w:r>
        <w:rPr>
          <w:rFonts w:ascii="Times New Roman" w:hAnsi="Times New Roman"/>
          <w:b/>
          <w:sz w:val="20"/>
        </w:rPr>
        <w:t xml:space="preserve">Podstawa prawna: </w:t>
      </w:r>
      <w:r>
        <w:rPr>
          <w:rFonts w:ascii="Times New Roman" w:hAnsi="Times New Roman"/>
          <w:b w:val="0"/>
          <w:sz w:val="20"/>
        </w:rPr>
        <w:t>art. 14 ust. 1 i 4 ustawy z dnia 27 marca 2003 r. o planowaniu i zagospodarowaniu przestrzennym oraz art. 241 Kodeksu postępowania administracyjnego</w:t>
      </w:r>
    </w:p>
    <w:p>
      <w:pPr>
        <w:spacing w:before="0" w:after="240" w:line="276" w:lineRule="auto"/>
        <w:jc w:val="both"/>
      </w:pPr>
      <w:r>
        <w:rPr>
          <w:rFonts w:ascii="Times New Roman" w:hAnsi="Times New Roman"/>
          <w:b w:val="0"/>
          <w:sz w:val="22"/>
        </w:rPr>
        <w:t>Wnoszę o podjęcie przez Radę Gminy Wola Krzysztoporska uchwały o przystąpieniu do sporządzenia miejscowego planu zagospodarowania przestrzennego dla części obrębu Glina, obejmującej działkę nr ewid. 54/2 oraz tereny do niej przyległe.</w:t>
      </w:r>
    </w:p>
    <w:p>
      <w:pPr>
        <w:spacing w:before="0" w:after="120" w:line="276" w:lineRule="auto"/>
        <w:jc w:val="both"/>
      </w:pPr>
      <w:r>
        <w:rPr>
          <w:rFonts w:ascii="Times New Roman" w:hAnsi="Times New Roman"/>
          <w:b/>
          <w:sz w:val="22"/>
        </w:rPr>
        <w:t>Wnoszę, aby projekt tego planu zawierał ustalenia tożsame z § 5 pkt 1–3 i 5 uchwały Nr XLV/381/22 Rady Gminy Wola Krzysztoporska z dnia 29 czerwca 2022 r. w sprawie miejscowego planu zagospodarowania przestrzennego dla części obrębu Glina, to jest zawierał:</w:t>
      </w:r>
    </w:p>
    <w:p>
      <w:pPr>
        <w:pStyle w:val="ListBullet"/>
        <w:spacing w:after="60" w:line="276" w:lineRule="auto"/>
        <w:jc w:val="both"/>
      </w:pPr>
      <w:r>
        <w:rPr>
          <w:rFonts w:ascii="Times New Roman" w:hAnsi="Times New Roman"/>
          <w:sz w:val="22"/>
        </w:rPr>
        <w:t>zakaz lokalizacji na terenach oznaczonych symbolem R przedsięwzięć związanych z chowem lub hodowlą zwierząt, zaliczanych do przedsięwzięć mogących zawsze znacząco oddziaływać na środowisko;</w:t>
      </w:r>
    </w:p>
    <w:p>
      <w:pPr>
        <w:pStyle w:val="ListBullet"/>
        <w:spacing w:after="60" w:line="276" w:lineRule="auto"/>
        <w:jc w:val="both"/>
      </w:pPr>
      <w:r>
        <w:rPr>
          <w:rFonts w:ascii="Times New Roman" w:hAnsi="Times New Roman"/>
          <w:sz w:val="22"/>
        </w:rPr>
        <w:t>zakaz lokalizacji na terenach oznaczonych symbolem RM przedsięwzięć związanych z chowem lub hodowlą zwierząt, zaliczanych do przedsięwzięć mogących zawsze znacząco oddziaływać na środowisko oraz mogących potencjalnie znacząco oddziaływać na środowisko;</w:t>
      </w:r>
    </w:p>
    <w:p>
      <w:pPr>
        <w:pStyle w:val="ListBullet"/>
        <w:spacing w:after="60" w:line="276" w:lineRule="auto"/>
        <w:jc w:val="both"/>
      </w:pPr>
      <w:r>
        <w:rPr>
          <w:rFonts w:ascii="Times New Roman" w:hAnsi="Times New Roman"/>
          <w:sz w:val="22"/>
        </w:rPr>
        <w:t>obowiązek przetworzenia nawozów naturalnych wytworzonych w obszarze przedsięwzięcia do formy produktów pofermentacyjnych w miejscu ich wytwarzania;</w:t>
      </w:r>
    </w:p>
    <w:p>
      <w:pPr>
        <w:pStyle w:val="ListBullet"/>
        <w:spacing w:after="60" w:line="276" w:lineRule="auto"/>
        <w:jc w:val="both"/>
      </w:pPr>
      <w:r>
        <w:rPr>
          <w:rFonts w:ascii="Times New Roman" w:hAnsi="Times New Roman"/>
          <w:sz w:val="22"/>
        </w:rPr>
        <w:t>zasadę, że ograniczenia obsady odnoszą się do łącznej obsady w ramach jednego gospodarstwa rolnego, w nowoprojektowanych obiektach oraz w już istniejących.</w:t>
      </w:r>
    </w:p>
    <w:p>
      <w:pPr>
        <w:spacing w:before="0" w:after="160" w:line="276" w:lineRule="auto"/>
      </w:pPr>
      <w:r>
        <w:rPr>
          <w:rFonts w:ascii="Times New Roman" w:hAnsi="Times New Roman"/>
          <w:b w:val="0"/>
          <w:i w:val="0"/>
          <w:sz w:val="22"/>
        </w:rPr>
      </w:r>
    </w:p>
    <w:p>
      <w:pPr>
        <w:spacing w:before="0" w:after="280" w:line="276" w:lineRule="auto"/>
        <w:jc w:val="both"/>
      </w:pPr>
      <w:r>
        <w:rPr>
          <w:rFonts w:ascii="Times New Roman" w:hAnsi="Times New Roman"/>
          <w:b/>
          <w:sz w:val="22"/>
        </w:rPr>
        <w:t>Wnoszę jednocześnie o zawieszenie, na podstawie art. 62 ust. 1 ustawy o planowaniu i zagospodarowaniu przestrzennym, postępowania w sprawie ustalenia warunków zabudowy dla przedmiotowego przedsięwzięcia — na okres do 9 miesięcy od dnia złożenia wniosku o wydanie tej decyzji.</w:t>
      </w:r>
    </w:p>
    <w:p>
      <w:pPr>
        <w:spacing w:before="0" w:after="200" w:line="276" w:lineRule="auto"/>
        <w:jc w:val="center"/>
      </w:pPr>
      <w:r>
        <w:rPr>
          <w:rFonts w:ascii="Times New Roman" w:hAnsi="Times New Roman"/>
          <w:b/>
          <w:i w:val="0"/>
          <w:sz w:val="24"/>
        </w:rPr>
        <w:t>UZASADNIENIE</w:t>
      </w:r>
    </w:p>
    <w:p>
      <w:pPr>
        <w:spacing w:before="0" w:after="160" w:line="276" w:lineRule="auto"/>
        <w:jc w:val="both"/>
      </w:pPr>
      <w:r>
        <w:rPr>
          <w:rFonts w:ascii="Times New Roman" w:hAnsi="Times New Roman"/>
          <w:b w:val="0"/>
          <w:sz w:val="22"/>
        </w:rPr>
        <w:t>Rada Gminy Wola Krzysztoporska już w 2022 r. przyjęła takie rozwiązanie dla sąsiedniej części tego samego obrębu. Niniejszy wniosek nie postuluje więc żadnego nowego ani nadzwyczajnego rozstrzygnięcia — postuluje spójność polityki przestrzennej gminy w granicach jednej miejscowości.</w:t>
      </w:r>
    </w:p>
    <w:p>
      <w:pPr>
        <w:spacing w:before="0" w:after="160" w:line="276" w:lineRule="auto"/>
        <w:jc w:val="both"/>
      </w:pPr>
      <w:r>
        <w:rPr>
          <w:rFonts w:ascii="Times New Roman" w:hAnsi="Times New Roman"/>
          <w:b w:val="0"/>
          <w:sz w:val="22"/>
        </w:rPr>
        <w:t>Obecnie na terenie działki nr ewid. 54/2 nie obowiązuje żaden miejscowy plan zagospodarowania przestrzennego. Powoduje to, że sposób jej zagospodarowania będzie ustalany w trybie decyzji o warunkach zabudowy, to jest z pominięciem Rady Gminy i bez udziału mieszkańców. Uchwalenie planu miejscowego przywraca rozstrzygnięcie temu organowi, który jest za nie odpowiedzialny przed mieszkańcami.</w:t>
      </w:r>
    </w:p>
    <w:p>
      <w:pPr>
        <w:spacing w:before="0" w:after="160" w:line="276" w:lineRule="auto"/>
        <w:jc w:val="both"/>
      </w:pPr>
      <w:r>
        <w:rPr>
          <w:rFonts w:ascii="Times New Roman" w:hAnsi="Times New Roman"/>
          <w:b w:val="0"/>
          <w:sz w:val="22"/>
        </w:rPr>
        <w:t>Planowane przedsięwzięcie — chlewnia o obsadzie 1996 sztuk trzody chlewnej, co odpowiada w przybliżeniu 279 DJP — należy do przedsięwzięć mogących zawsze znacząco oddziaływać na środowisko. Jest to dokładnie ta kategoria, którą Rada Gminy uznała za niedopuszczalną w § 5 uchwały Nr XLV/381/22.</w:t>
      </w:r>
    </w:p>
    <w:p>
      <w:pPr>
        <w:spacing w:before="0" w:after="160" w:line="276" w:lineRule="auto"/>
        <w:jc w:val="both"/>
      </w:pPr>
      <w:r>
        <w:rPr>
          <w:rFonts w:ascii="Times New Roman" w:hAnsi="Times New Roman"/>
          <w:b w:val="0"/>
          <w:sz w:val="22"/>
        </w:rPr>
        <w:t>Orzecznictwo sądów administracyjnych potwierdza dopuszczalność wprowadzania w planie miejscowym ograniczeń i zakazów lokalizacji obiektów inwentarskich w celu ochrony przed uciążliwościami zapachowymi. Takie ustalenia planu mieszczą się w granicach władztwa planistycznego gminy i nie naruszają art. 22 ani art. 64 ust. 3 Konstytucji Rzeczypospolitej Polskiej.</w:t>
      </w:r>
    </w:p>
    <w:p>
      <w:pPr>
        <w:spacing w:before="0" w:after="120" w:line="276" w:lineRule="auto"/>
        <w:jc w:val="both"/>
      </w:pPr>
      <w:r>
        <w:rPr>
          <w:rFonts w:ascii="Times New Roman" w:hAnsi="Times New Roman"/>
          <w:b w:val="0"/>
          <w:sz w:val="22"/>
        </w:rPr>
        <w:t>Wnoszę o poinformowanie mnie na piśmie o sposobie załatwienia wniosku w trybie art. 244 § 2 Kodeksu postępowania administracyjnego.</w:t>
      </w:r>
    </w:p>
    <w:p>
      <w:pPr>
        <w:spacing w:before="0" w:after="120" w:line="276" w:lineRule="auto"/>
      </w:pPr>
      <w:r>
        <w:rPr>
          <w:rFonts w:ascii="Times New Roman" w:hAnsi="Times New Roman"/>
          <w:b w:val="0"/>
          <w:i w:val="0"/>
          <w:sz w:val="22"/>
        </w:rPr>
      </w:r>
    </w:p>
    <w:p>
      <w:pPr>
        <w:spacing w:before="0" w:after="0" w:line="276" w:lineRule="auto"/>
        <w:jc w:val="both"/>
      </w:pPr>
      <w:r>
        <w:rPr>
          <w:rFonts w:ascii="Times New Roman" w:hAnsi="Times New Roman"/>
          <w:b/>
          <w:sz w:val="20"/>
        </w:rPr>
        <w:t xml:space="preserve">Załącznik: </w:t>
      </w:r>
      <w:r>
        <w:rPr>
          <w:rFonts w:ascii="Times New Roman" w:hAnsi="Times New Roman"/>
          <w:b w:val="0"/>
          <w:sz w:val="20"/>
        </w:rPr>
        <w:t>lista osób popierających wniosek — ……… kart, ……… podpisów.</w:t>
      </w:r>
    </w:p>
    <w:p>
      <w:pPr>
        <w:spacing w:before="0" w:after="160" w:line="276" w:lineRule="auto"/>
      </w:pPr>
      <w:r>
        <w:rPr>
          <w:rFonts w:ascii="Times New Roman" w:hAnsi="Times New Roman"/>
          <w:b w:val="0"/>
          <w:i w:val="0"/>
          <w:sz w:val="22"/>
        </w:rPr>
      </w:r>
    </w:p>
    <w:p>
      <w:pPr>
        <w:spacing w:before="0" w:after="280" w:line="276" w:lineRule="auto"/>
        <w:jc w:val="right"/>
      </w:pPr>
      <w:r>
        <w:rPr>
          <w:rFonts w:ascii="Times New Roman" w:hAnsi="Times New Roman"/>
          <w:b w:val="0"/>
          <w:i w:val="0"/>
          <w:color w:val="6E6E76"/>
          <w:sz w:val="20"/>
        </w:rPr>
        <w:t>…………………………………………</w:t>
        <w:br/>
      </w:r>
      <w:r>
        <w:rPr>
          <w:rFonts w:ascii="Times New Roman" w:hAnsi="Times New Roman"/>
          <w:b w:val="0"/>
          <w:i w:val="0"/>
          <w:color w:val="6E6E76"/>
          <w:sz w:val="20"/>
        </w:rPr>
        <w:t>podpis</w:t>
      </w:r>
    </w:p>
    <w:p>
      <w:pPr>
        <w:spacing w:before="0" w:after="120" w:line="276" w:lineRule="auto"/>
      </w:pPr>
      <w:r>
        <w:rPr>
          <w:rFonts w:ascii="Times New Roman" w:hAnsi="Times New Roman"/>
          <w:b w:val="0"/>
          <w:i w:val="0"/>
          <w:sz w:val="22"/>
        </w:rPr>
      </w:r>
    </w:p>
    <w:p>
      <w:pPr>
        <w:spacing w:before="200"/>
      </w:pPr>
      <w:r>
        <w:rPr>
          <w:rFonts w:ascii="Times New Roman" w:hAnsi="Times New Roman"/>
          <w:b/>
          <w:color w:val="D62828"/>
          <w:sz w:val="18"/>
        </w:rPr>
        <w:t xml:space="preserve">WSKAZÓWKA: </w:t>
      </w:r>
      <w:r>
        <w:rPr>
          <w:rFonts w:ascii="Times New Roman" w:hAnsi="Times New Roman"/>
          <w:color w:val="6E6E76"/>
          <w:sz w:val="18"/>
        </w:rPr>
        <w:t>To najsilniejsze narzędzie długoterminowe. Do wniosku dołącz listę poparcia (plik nr 10). Jeżeli zbierzecie 200 podpisów osób mających prawo wybierania do Rady Gminy, ten sam projekt można złożyć jako obywatelską inicjatywę uchwałodawczą z art. 41a ustawy o samorządzie gminnym — wtedy Rada MA OBOWIĄZEK rozpatrzyć go na sesji w ciągu 3 miesięcy.</w:t>
      </w:r>
    </w:p>
    <w:sectPr w:rsidR="00FC693F" w:rsidRPr="0006063C" w:rsidSect="00034616">
      <w:pgSz w:w="12240" w:h="15840"/>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